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B1630"/>
          <w:sz w:val="46"/>
        </w:rPr>
        <w:t>COMPLIANCE</w:t>
      </w:r>
      <w:r>
        <w:rPr>
          <w:b/>
          <w:color w:val="FF2D85"/>
          <w:sz w:val="46"/>
        </w:rPr>
        <w:t>OS</w:t>
      </w:r>
    </w:p>
    <w:p>
      <w:pPr>
        <w:jc w:val="center"/>
      </w:pPr>
      <w:r>
        <w:rPr>
          <w:b/>
          <w:color w:val="2563EB"/>
          <w:sz w:val="16"/>
        </w:rPr>
        <w:t>PROPUESTA ESTRATÉGICA PARA POMELO · CONFIDENCIAL</w:t>
      </w:r>
    </w:p>
    <w:p>
      <w:pPr>
        <w:jc w:val="center"/>
      </w:pPr>
      <w:r>
        <w:rPr>
          <w:b/>
          <w:color w:val="0B1630"/>
          <w:sz w:val="32"/>
        </w:rPr>
        <w:t>El sistema operativo para el cumplimiento regulatorio en tiempo real.</w:t>
      </w:r>
    </w:p>
    <w:p>
      <w:pPr>
        <w:spacing w:before="120" w:after="40"/>
      </w:pPr>
      <w:r>
        <w:rPr>
          <w:b/>
          <w:color w:val="2563EB"/>
          <w:sz w:val="20"/>
        </w:rPr>
        <w:t>LA OPORTUNIDAD</w:t>
      </w:r>
    </w:p>
    <w:p>
      <w:pPr>
        <w:spacing w:after="60" w:line="252" w:lineRule="auto"/>
      </w:pPr>
      <w:r>
        <w:t>Las operaciones financieras modernas escalan con APIs e infraestructura. El cumplimiento regulatorio todavía depende de monitoreo fragmentado, interpretación manual, coordinación entre áreas y evidencia reconstruida a posteriori. ComplianceOS conecta ese ciclo completo.</w:t>
      </w:r>
    </w:p>
    <w:p>
      <w:pPr>
        <w:spacing w:before="120" w:after="40"/>
      </w:pPr>
      <w:r>
        <w:rPr>
          <w:b/>
          <w:color w:val="2563EB"/>
          <w:sz w:val="20"/>
        </w:rPr>
        <w:t>QUÉ HACE COMPLIANCEOS</w:t>
      </w:r>
    </w:p>
    <w:p>
      <w:pPr>
        <w:spacing w:after="60" w:line="252" w:lineRule="auto"/>
      </w:pPr>
      <w:r>
        <w:t>Detecta cambios regulatorios, determina aplicabilidad por entidad/producto/jurisdicción, evalúa impacto con IA grounded en fuentes, transforma cambios en obligaciones y controles, asigna responsables y plazos, y conserva evidencia auditable con human-in-the-loop.</w:t>
      </w:r>
    </w:p>
    <w:p>
      <w:pPr>
        <w:spacing w:before="120" w:after="40"/>
      </w:pPr>
      <w:r>
        <w:rPr>
          <w:b/>
          <w:color w:val="2563EB"/>
          <w:sz w:val="20"/>
        </w:rPr>
        <w:t>POR QUÉ POMELO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2613"/>
          </w:tcPr>
          <w:p>
            <w:pPr>
              <w:spacing w:after="20"/>
            </w:pPr>
            <w:r>
              <w:rPr>
                <w:b/>
                <w:sz w:val="16"/>
              </w:rPr>
              <w:t>CLIENTE</w:t>
            </w:r>
          </w:p>
        </w:tc>
        <w:tc>
          <w:tcPr>
            <w:tcW w:type="dxa" w:w="2613"/>
          </w:tcPr>
          <w:p>
            <w:pPr>
              <w:spacing w:after="20"/>
            </w:pPr>
            <w:r>
              <w:rPr>
                <w:b/>
                <w:sz w:val="16"/>
              </w:rPr>
              <w:t>DISTRIBUIDOR</w:t>
            </w:r>
          </w:p>
        </w:tc>
        <w:tc>
          <w:tcPr>
            <w:tcW w:type="dxa" w:w="2613"/>
          </w:tcPr>
          <w:p>
            <w:pPr>
              <w:spacing w:after="20"/>
            </w:pPr>
            <w:r>
              <w:rPr>
                <w:b/>
                <w:sz w:val="16"/>
              </w:rPr>
              <w:t>INVERSOR</w:t>
            </w:r>
          </w:p>
        </w:tc>
        <w:tc>
          <w:tcPr>
            <w:tcW w:type="dxa" w:w="2613"/>
          </w:tcPr>
          <w:p>
            <w:pPr>
              <w:spacing w:after="20"/>
            </w:pPr>
            <w:r>
              <w:rPr>
                <w:b/>
                <w:sz w:val="16"/>
              </w:rPr>
              <w:t>MULTIPLICADOR</w:t>
            </w:r>
          </w:p>
        </w:tc>
      </w:tr>
      <w:tr>
        <w:tc>
          <w:tcPr>
            <w:tcW w:type="dxa" w:w="2613"/>
          </w:tcPr>
          <w:p>
            <w:pPr>
              <w:spacing w:after="20"/>
            </w:pPr>
            <w:r>
              <w:rPr>
                <w:sz w:val="16"/>
              </w:rPr>
              <w:t>Design partner y ROI operativo.</w:t>
            </w:r>
          </w:p>
        </w:tc>
        <w:tc>
          <w:tcPr>
            <w:tcW w:type="dxa" w:w="2613"/>
          </w:tcPr>
          <w:p>
            <w:pPr>
              <w:spacing w:after="20"/>
            </w:pPr>
            <w:r>
              <w:rPr>
                <w:sz w:val="16"/>
              </w:rPr>
              <w:t>Canal preferente hacia su red.</w:t>
            </w:r>
          </w:p>
        </w:tc>
        <w:tc>
          <w:tcPr>
            <w:tcW w:type="dxa" w:w="2613"/>
          </w:tcPr>
          <w:p>
            <w:pPr>
              <w:spacing w:after="20"/>
            </w:pPr>
            <w:r>
              <w:rPr>
                <w:sz w:val="16"/>
              </w:rPr>
              <w:t>Equity upside en compañía independiente.</w:t>
            </w:r>
          </w:p>
        </w:tc>
        <w:tc>
          <w:tcPr>
            <w:tcW w:type="dxa" w:w="2613"/>
          </w:tcPr>
          <w:p>
            <w:pPr>
              <w:spacing w:after="20"/>
            </w:pPr>
            <w:r>
              <w:rPr>
                <w:sz w:val="16"/>
              </w:rPr>
              <w:t>Más stickiness y velocidad regional.</w:t>
            </w:r>
          </w:p>
        </w:tc>
      </w:tr>
    </w:tbl>
    <w:p>
      <w:pPr>
        <w:spacing w:before="120" w:after="40"/>
      </w:pPr>
      <w:r>
        <w:rPr>
          <w:b/>
          <w:color w:val="2563EB"/>
          <w:sz w:val="20"/>
        </w:rPr>
        <w:t>POR QUÉ DEBE SER INDEPENDIENTE</w:t>
      </w:r>
    </w:p>
    <w:p>
      <w:pPr>
        <w:spacing w:after="60" w:line="252" w:lineRule="auto"/>
      </w:pPr>
      <w:r>
        <w:t>Un producto interno captura principalmente valor interno. Una compañía independiente puede servir a Pomelo, distribuirse a través de Pomelo y vender fuera de su perímetro, preservando neutralidad, gobierno y data boundaries requeridos por bancos y grandes entidades. La independencia expande el mercado; la integración preserva la ventaja estratégica.</w:t>
      </w:r>
    </w:p>
    <w:p>
      <w:pPr>
        <w:spacing w:before="120" w:after="40"/>
      </w:pPr>
      <w:r>
        <w:rPr>
          <w:b/>
          <w:color w:val="2563EB"/>
          <w:sz w:val="20"/>
        </w:rPr>
        <w:t>TECNOLOGÍA / MOAT</w:t>
      </w:r>
    </w:p>
    <w:p>
      <w:pPr>
        <w:spacing w:after="60" w:line="252" w:lineRule="auto"/>
      </w:pPr>
      <w:r>
        <w:t>Regulatory ingestion + versionado · knowledge graph entidad/licencia/producto/obligación/control · model orchestration con RAG/evals/grounding · RBAC y data isolation · audit trail · human approval · API layer. El moat no es el LLM: es el corpus versionado, mappings, evals, workflows, evidence graph e integración institucional.</w:t>
      </w:r>
    </w:p>
    <w:p>
      <w:pPr>
        <w:spacing w:before="120" w:after="40"/>
      </w:pPr>
      <w:r>
        <w:rPr>
          <w:b/>
          <w:color w:val="2563EB"/>
          <w:sz w:val="20"/>
        </w:rPr>
        <w:t>PROPUESTA DE PRIMER PASO</w:t>
      </w:r>
    </w:p>
    <w:p>
      <w:pPr>
        <w:spacing w:after="60" w:line="252" w:lineRule="auto"/>
      </w:pPr>
      <w:r>
        <w:t>1) Seleccionar 2–3 workflows de alto valor. 2) Design partnership de 90 días con acceso técnico controlado. 3) Medir time-to-impact, coverage, accuracy, reducción de trabajo manual y audit readiness. 4) Sobre resultados, definir investment + distribution path.</w:t>
      </w:r>
    </w:p>
    <w:p>
      <w:pPr>
        <w:spacing w:before="140"/>
        <w:jc w:val="center"/>
      </w:pPr>
      <w:r>
        <w:rPr>
          <w:b/>
          <w:color w:val="FF2D85"/>
          <w:sz w:val="22"/>
        </w:rPr>
        <w:t>Separate companies. Integrated infrastructure. Shared upside.</w:t>
      </w:r>
    </w:p>
    <w:sectPr w:rsidR="00FC693F" w:rsidRPr="0006063C" w:rsidSect="00034616">
      <w:pgSz w:w="12240" w:h="15840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03E5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