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53B8C"/>
          <w:sz w:val="16"/>
        </w:rPr>
        <w:t>COMPLIANCEOS  ×  POMELO</w:t>
      </w:r>
    </w:p>
    <w:p>
      <w:pPr>
        <w:pStyle w:val="Title"/>
        <w:jc w:val="center"/>
      </w:pPr>
      <w:r>
        <w:t>CEO Strategic Memo — Why Independent Wins</w:t>
      </w:r>
    </w:p>
    <w:p>
      <w:pPr>
        <w:jc w:val="center"/>
      </w:pPr>
      <w:r>
        <w:rPr>
          <w:i/>
          <w:color w:val="667085"/>
          <w:sz w:val="16"/>
        </w:rPr>
        <w:t>Goal: position Pomelo as strategic anchor, not parent company.</w:t>
      </w:r>
    </w:p>
    <w:p>
      <w:pPr>
        <w:pStyle w:val="Heading1"/>
      </w:pPr>
      <w:r>
        <w:t>Core thesis</w:t>
      </w:r>
    </w:p>
    <w:p>
      <w:r>
        <w:rPr>
          <w:b/>
        </w:rPr>
        <w:t xml:space="preserve">Pomelo creates more value by helping ComplianceOS remain independent. </w:t>
      </w:r>
      <w:r>
        <w:t>Internal-only captures mainly Pomelo-specific productivity. Independence preserves market neutrality, expands distribution beyond Pomelo, and creates standalone ARR and enterprise value in which Pomelo can participate.</w:t>
      </w:r>
    </w:p>
    <w:p>
      <w:pPr>
        <w:pStyle w:val="Heading1"/>
      </w:pPr>
      <w:r>
        <w:t>Why Pomelo is the ideal anchor</w:t>
      </w:r>
    </w:p>
    <w:p>
      <w:pPr>
        <w:pStyle w:val="ListBullet"/>
        <w:spacing w:after="0"/>
      </w:pPr>
      <w:r>
        <w:t>Distribution across public client cases in fintech, crypto, banking and remittances.</w:t>
      </w:r>
    </w:p>
    <w:p>
      <w:pPr>
        <w:pStyle w:val="ListBullet"/>
        <w:spacing w:after="0"/>
      </w:pPr>
      <w:r>
        <w:t>Product context close to payments operations, risk, reporting and regulatory onboarding.</w:t>
      </w:r>
    </w:p>
    <w:p>
      <w:pPr>
        <w:pStyle w:val="ListBullet"/>
        <w:spacing w:after="0"/>
      </w:pPr>
      <w:r>
        <w:t>AI-native capability: Pomelo publicly reports 6x engineering throughput after a year of transformation.</w:t>
      </w:r>
    </w:p>
    <w:p>
      <w:pPr>
        <w:pStyle w:val="ListBullet"/>
        <w:spacing w:after="0"/>
      </w:pPr>
      <w:r>
        <w:t>Capital and ambition: $55M Series C in Jan. 2026; $160M total raised; new phase targets global products and payment methods.</w:t>
      </w:r>
    </w:p>
    <w:p>
      <w:pPr>
        <w:pStyle w:val="Heading1"/>
      </w:pPr>
      <w:r>
        <w:t>Why independent governance matters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111A2E"/>
          </w:tcPr>
          <w:p>
            <w:r>
              <w:rPr>
                <w:b/>
                <w:color w:val="FFFFFF"/>
                <w:sz w:val="15"/>
              </w:rPr>
              <w:t>Internal-only</w:t>
            </w:r>
          </w:p>
        </w:tc>
        <w:tc>
          <w:tcPr>
            <w:tcW w:type="dxa" w:w="5328"/>
            <w:shd w:fill="111A2E"/>
          </w:tcPr>
          <w:p>
            <w:r>
              <w:rPr>
                <w:b/>
                <w:color w:val="FFFFFF"/>
                <w:sz w:val="15"/>
              </w:rPr>
              <w:t>Independent + Pomelo</w:t>
            </w:r>
          </w:p>
        </w:tc>
      </w:tr>
      <w:tr>
        <w:tc>
          <w:tcPr>
            <w:tcW w:type="dxa" w:w="5328"/>
          </w:tcPr>
          <w:p>
            <w:r>
              <w:rPr>
                <w:sz w:val="14"/>
              </w:rPr>
              <w:t>Internal ROI</w:t>
            </w:r>
          </w:p>
        </w:tc>
        <w:tc>
          <w:tcPr>
            <w:tcW w:type="dxa" w:w="5328"/>
          </w:tcPr>
          <w:p>
            <w:r>
              <w:rPr>
                <w:sz w:val="14"/>
              </w:rPr>
              <w:t>Internal ROI + distribution + equity upside</w:t>
            </w:r>
          </w:p>
        </w:tc>
      </w:tr>
      <w:tr>
        <w:tc>
          <w:tcPr>
            <w:tcW w:type="dxa" w:w="5328"/>
          </w:tcPr>
          <w:p>
            <w:r>
              <w:rPr>
                <w:sz w:val="14"/>
              </w:rPr>
              <w:t>Pomelo product perimeter</w:t>
            </w:r>
          </w:p>
        </w:tc>
        <w:tc>
          <w:tcPr>
            <w:tcW w:type="dxa" w:w="5328"/>
          </w:tcPr>
          <w:p>
            <w:r>
              <w:rPr>
                <w:sz w:val="14"/>
              </w:rPr>
              <w:t>Pomelo + broader regulated market</w:t>
            </w:r>
          </w:p>
        </w:tc>
      </w:tr>
      <w:tr>
        <w:tc>
          <w:tcPr>
            <w:tcW w:type="dxa" w:w="5328"/>
          </w:tcPr>
          <w:p>
            <w:r>
              <w:rPr>
                <w:sz w:val="14"/>
              </w:rPr>
              <w:t>Possible neutrality issue for some buyers</w:t>
            </w:r>
          </w:p>
        </w:tc>
        <w:tc>
          <w:tcPr>
            <w:tcW w:type="dxa" w:w="5328"/>
          </w:tcPr>
          <w:p>
            <w:r>
              <w:rPr>
                <w:sz w:val="14"/>
              </w:rPr>
              <w:t>Independent contracts, governance and data boundaries</w:t>
            </w:r>
          </w:p>
        </w:tc>
      </w:tr>
      <w:tr>
        <w:tc>
          <w:tcPr>
            <w:tcW w:type="dxa" w:w="5328"/>
          </w:tcPr>
          <w:p>
            <w:r>
              <w:rPr>
                <w:sz w:val="14"/>
              </w:rPr>
              <w:t>Value embedded inside Pomelo</w:t>
            </w:r>
          </w:p>
        </w:tc>
        <w:tc>
          <w:tcPr>
            <w:tcW w:type="dxa" w:w="5328"/>
          </w:tcPr>
          <w:p>
            <w:r>
              <w:rPr>
                <w:sz w:val="14"/>
              </w:rPr>
              <w:t>Standalone ARR and company value</w:t>
            </w:r>
          </w:p>
        </w:tc>
      </w:tr>
      <w:tr>
        <w:tc>
          <w:tcPr>
            <w:tcW w:type="dxa" w:w="5328"/>
          </w:tcPr>
          <w:p>
            <w:r>
              <w:rPr>
                <w:sz w:val="14"/>
              </w:rPr>
              <w:t>Competes for internal roadmap</w:t>
            </w:r>
          </w:p>
        </w:tc>
        <w:tc>
          <w:tcPr>
            <w:tcW w:type="dxa" w:w="5328"/>
          </w:tcPr>
          <w:p>
            <w:r>
              <w:rPr>
                <w:sz w:val="14"/>
              </w:rPr>
              <w:t>Dedicated regulatory data / ontology / eval compounding</w:t>
            </w:r>
          </w:p>
        </w:tc>
      </w:tr>
    </w:tbl>
    <w:p>
      <w:pPr>
        <w:pStyle w:val="Heading1"/>
      </w:pPr>
      <w:r>
        <w:t>Proposed first structure</w:t>
      </w:r>
    </w:p>
    <w:p>
      <w:pPr>
        <w:pStyle w:val="ListBullet"/>
        <w:spacing w:after="0"/>
      </w:pPr>
      <w:r>
        <w:t>Pomelo: strategic investor + launch customer + preferred distributor + integration partner.</w:t>
      </w:r>
    </w:p>
    <w:p>
      <w:pPr>
        <w:pStyle w:val="ListBullet"/>
        <w:spacing w:after="0"/>
      </w:pPr>
      <w:r>
        <w:t>ComplianceOS: independent IP, governance, customer contracts and data boundaries.</w:t>
      </w:r>
    </w:p>
    <w:p>
      <w:pPr>
        <w:pStyle w:val="ListBullet"/>
        <w:spacing w:after="0"/>
      </w:pPr>
      <w:r>
        <w:t>Future institutional co-investment remains optional; no Pomelo investor is presented as committed in the first meeting.</w:t>
      </w:r>
    </w:p>
    <w:p>
      <w:pPr>
        <w:pStyle w:val="Heading1"/>
      </w:pPr>
      <w:r>
        <w:t>First-meeting objective</w:t>
      </w:r>
    </w:p>
    <w:p>
      <w:r>
        <w:rPr>
          <w:b/>
        </w:rPr>
        <w:t xml:space="preserve">Win strategic validation before negotiating the round: </w:t>
      </w:r>
      <w:r>
        <w:t>“This is relevant; it should remain independent; Pomelo should be inside the opportunity.” Then define design-partner scope, strategic investment path and whether a Pomelo investor should later join.</w:t>
      </w:r>
    </w:p>
    <w:p>
      <w:pPr>
        <w:spacing w:before="60"/>
      </w:pPr>
      <w:r>
        <w:rPr>
          <w:b/>
          <w:color w:val="667085"/>
          <w:sz w:val="13"/>
        </w:rPr>
        <w:t xml:space="preserve">Public sources: </w:t>
      </w:r>
      <w:r>
        <w:rPr>
          <w:color w:val="667085"/>
          <w:sz w:val="13"/>
        </w:rPr>
        <w:t>pomelo.la/blog/pomelo-ronda-55-millones-serie-c · pomelo.la/blog/pomelo-empresa-ai-native · pomelo.la/blog/categoria/clientes</w:t>
      </w:r>
    </w:p>
    <w:sectPr w:rsidR="00FC693F" w:rsidRPr="0006063C" w:rsidSect="00034616">
      <w:pgSz w:w="12240" w:h="15840"/>
      <w:pgMar w:top="605" w:right="792" w:bottom="605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40"/>
      <w:outlineLvl w:val="0"/>
    </w:pPr>
    <w:rPr>
      <w:rFonts w:asciiTheme="majorHAnsi" w:eastAsiaTheme="majorEastAsia" w:hAnsiTheme="majorHAnsi" w:cstheme="majorBidi" w:ascii="Aptos" w:hAnsi="Aptos"/>
      <w:b/>
      <w:bCs/>
      <w:color w:val="0B122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40" w:line="240" w:lineRule="auto"/>
      <w:contextualSpacing/>
    </w:pPr>
    <w:rPr>
      <w:rFonts w:asciiTheme="majorHAnsi" w:eastAsiaTheme="majorEastAsia" w:hAnsiTheme="majorHAnsi" w:cstheme="majorBidi" w:ascii="Aptos" w:hAnsi="Aptos"/>
      <w:color w:val="0B122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