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53B8C"/>
          <w:sz w:val="20"/>
        </w:rPr>
        <w:t>COMPLIANCEOS  ×  POMELO</w:t>
      </w:r>
    </w:p>
    <w:p>
      <w:pPr>
        <w:pStyle w:val="Title"/>
        <w:jc w:val="center"/>
      </w:pPr>
      <w:r>
        <w:t>Technical Brief — Regulatory Operations AI</w:t>
      </w:r>
    </w:p>
    <w:p>
      <w:pPr>
        <w:jc w:val="center"/>
      </w:pPr>
      <w:r>
        <w:rPr>
          <w:i/>
        </w:rPr>
        <w:t>Argentina + Brazil first | Mexico next | Human approval by design</w:t>
      </w:r>
    </w:p>
    <w:p>
      <w:pPr>
        <w:pStyle w:val="Heading1"/>
      </w:pPr>
      <w:r>
        <w:t>1. Product boundary</w:t>
      </w:r>
    </w:p>
    <w:p>
      <w:r>
        <w:rPr>
          <w:b/>
        </w:rPr>
        <w:t xml:space="preserve">ComplianceOS is not a replacement for KYC, AML screening or payment processing. </w:t>
      </w:r>
      <w:r>
        <w:t>It is the operating layer that converts regulatory source changes into structured, reviewable work across entities, products, jurisdictions, policies, controls and evidence.</w:t>
      </w:r>
    </w:p>
    <w:p>
      <w:pPr>
        <w:pStyle w:val="Heading1"/>
      </w:pPr>
      <w:r>
        <w:t>2. Core architecture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111A2E"/>
          </w:tcPr>
          <w:p>
            <w:r>
              <w:rPr>
                <w:b/>
                <w:color w:val="FFFFFF"/>
              </w:rPr>
              <w:t>Layer</w:t>
            </w:r>
          </w:p>
        </w:tc>
        <w:tc>
          <w:tcPr>
            <w:tcW w:type="dxa" w:w="5112"/>
            <w:shd w:fill="111A2E"/>
          </w:tcPr>
          <w:p>
            <w:r>
              <w:rPr>
                <w:b/>
                <w:color w:val="FFFFFF"/>
              </w:rPr>
              <w:t>Function</w:t>
            </w:r>
          </w:p>
        </w:tc>
      </w:tr>
      <w:tr>
        <w:tc>
          <w:tcPr>
            <w:tcW w:type="dxa" w:w="5112"/>
          </w:tcPr>
          <w:p>
            <w:r>
              <w:t>Regulatory Sources</w:t>
            </w:r>
          </w:p>
        </w:tc>
        <w:tc>
          <w:tcPr>
            <w:tcW w:type="dxa" w:w="5112"/>
          </w:tcPr>
          <w:p>
            <w:r>
              <w:t>Official regulator publications, legal texts and structured source registry.</w:t>
            </w:r>
          </w:p>
        </w:tc>
      </w:tr>
      <w:tr>
        <w:tc>
          <w:tcPr>
            <w:tcW w:type="dxa" w:w="5112"/>
          </w:tcPr>
          <w:p>
            <w:r>
              <w:t>Version &amp; Diff Engine</w:t>
            </w:r>
          </w:p>
        </w:tc>
        <w:tc>
          <w:tcPr>
            <w:tcW w:type="dxa" w:w="5112"/>
          </w:tcPr>
          <w:p>
            <w:r>
              <w:t>Deterministic hashing, prior-version lookup and section-level added/removed/modified diffs.</w:t>
            </w:r>
          </w:p>
        </w:tc>
      </w:tr>
      <w:tr>
        <w:tc>
          <w:tcPr>
            <w:tcW w:type="dxa" w:w="5112"/>
          </w:tcPr>
          <w:p>
            <w:r>
              <w:t>Regulatory Graph</w:t>
            </w:r>
          </w:p>
        </w:tc>
        <w:tc>
          <w:tcPr>
            <w:tcW w:type="dxa" w:w="5112"/>
          </w:tcPr>
          <w:p>
            <w:r>
              <w:t>Jurisdiction × regulator × entity × license × product × obligation × control × evidence.</w:t>
            </w:r>
          </w:p>
        </w:tc>
      </w:tr>
      <w:tr>
        <w:tc>
          <w:tcPr>
            <w:tcW w:type="dxa" w:w="5112"/>
          </w:tcPr>
          <w:p>
            <w:r>
              <w:t>Applicability Profile</w:t>
            </w:r>
          </w:p>
        </w:tc>
        <w:tc>
          <w:tcPr>
            <w:tcW w:type="dxa" w:w="5112"/>
          </w:tcPr>
          <w:p>
            <w:r>
              <w:t>Explicit facts about the customer: entity type, products, countries, licenses and operational context.</w:t>
            </w:r>
          </w:p>
        </w:tc>
      </w:tr>
      <w:tr>
        <w:tc>
          <w:tcPr>
            <w:tcW w:type="dxa" w:w="5112"/>
          </w:tcPr>
          <w:p>
            <w:r>
              <w:t>AI Impact Assessment</w:t>
            </w:r>
          </w:p>
        </w:tc>
        <w:tc>
          <w:tcPr>
            <w:tcW w:type="dxa" w:w="5112"/>
          </w:tcPr>
          <w:p>
            <w:r>
              <w:t>Structured severity, applies/not applies, reason, obligations, actions, citations, confidence and limitations.</w:t>
            </w:r>
          </w:p>
        </w:tc>
      </w:tr>
      <w:tr>
        <w:tc>
          <w:tcPr>
            <w:tcW w:type="dxa" w:w="5112"/>
          </w:tcPr>
          <w:p>
            <w:r>
              <w:t>Controls / Policies / Tasks</w:t>
            </w:r>
          </w:p>
        </w:tc>
        <w:tc>
          <w:tcPr>
            <w:tcW w:type="dxa" w:w="5112"/>
          </w:tcPr>
          <w:p>
            <w:r>
              <w:t>Maps approved impact to operational remediation and accountability.</w:t>
            </w:r>
          </w:p>
        </w:tc>
      </w:tr>
      <w:tr>
        <w:tc>
          <w:tcPr>
            <w:tcW w:type="dxa" w:w="5112"/>
          </w:tcPr>
          <w:p>
            <w:r>
              <w:t>Evidence &amp; Audit</w:t>
            </w:r>
          </w:p>
        </w:tc>
        <w:tc>
          <w:tcPr>
            <w:tcW w:type="dxa" w:w="5112"/>
          </w:tcPr>
          <w:p>
            <w:r>
              <w:t>Stores source links, approvals, historical versions, action status and evidence packs.</w:t>
            </w:r>
          </w:p>
        </w:tc>
      </w:tr>
    </w:tbl>
    <w:p>
      <w:pPr>
        <w:pStyle w:val="Heading1"/>
      </w:pPr>
      <w:r>
        <w:t>3. Safety and legal-quality principles</w:t>
      </w:r>
    </w:p>
    <w:p>
      <w:pPr>
        <w:pStyle w:val="ListBullet"/>
        <w:spacing w:after="40"/>
      </w:pPr>
      <w:r>
        <w:t>Deterministic source truth first: AI never decides whether text changed; it receives a validated diff.</w:t>
      </w:r>
    </w:p>
    <w:p>
      <w:pPr>
        <w:pStyle w:val="ListBullet"/>
        <w:spacing w:after="40"/>
      </w:pPr>
      <w:r>
        <w:t>Citation-bound output: model citations are accepted only when they map to source labels present in the change object.</w:t>
      </w:r>
    </w:p>
    <w:p>
      <w:pPr>
        <w:pStyle w:val="ListBullet"/>
        <w:spacing w:after="40"/>
      </w:pPr>
      <w:r>
        <w:t>Human-in-the-loop: impact assessments remain needs_review until approved by an authorized reviewer.</w:t>
      </w:r>
    </w:p>
    <w:p>
      <w:pPr>
        <w:pStyle w:val="ListBullet"/>
        <w:spacing w:after="40"/>
      </w:pPr>
      <w:r>
        <w:t>No hidden confidence: applicability rationale, limitations and confidence remain visible.</w:t>
      </w:r>
    </w:p>
    <w:p>
      <w:pPr>
        <w:pStyle w:val="ListBullet"/>
        <w:spacing w:after="40"/>
      </w:pPr>
      <w:r>
        <w:t>Tenant isolation and enterprise security: SSO/OIDC, RBAC, audit logs, encryption, data retention and observability are preconditions for bank-grade deployment.</w:t>
      </w:r>
    </w:p>
    <w:p>
      <w:pPr>
        <w:pStyle w:val="Heading1"/>
      </w:pPr>
      <w:r>
        <w:t>4. Killer demo — end-to-end</w:t>
      </w:r>
    </w:p>
    <w:p>
      <w:pPr>
        <w:spacing w:after="60"/>
      </w:pPr>
      <w:r>
        <w:rPr>
          <w:b/>
          <w:color w:val="F53B8C"/>
        </w:rPr>
        <w:t xml:space="preserve">01  </w:t>
      </w:r>
      <w:r>
        <w:t>New BCRA/BCB source is ingested</w:t>
      </w:r>
    </w:p>
    <w:p>
      <w:pPr>
        <w:spacing w:after="60"/>
      </w:pPr>
      <w:r>
        <w:rPr>
          <w:b/>
          <w:color w:val="F53B8C"/>
        </w:rPr>
        <w:t xml:space="preserve">02  </w:t>
      </w:r>
      <w:r>
        <w:t>System identifies prior version and exact section-level diff</w:t>
      </w:r>
    </w:p>
    <w:p>
      <w:pPr>
        <w:spacing w:after="60"/>
      </w:pPr>
      <w:r>
        <w:rPr>
          <w:b/>
          <w:color w:val="F53B8C"/>
        </w:rPr>
        <w:t xml:space="preserve">03  </w:t>
      </w:r>
      <w:r>
        <w:t>Applicability is evaluated against entity/product/jurisdiction profile</w:t>
      </w:r>
    </w:p>
    <w:p>
      <w:pPr>
        <w:spacing w:after="60"/>
      </w:pPr>
      <w:r>
        <w:rPr>
          <w:b/>
          <w:color w:val="F53B8C"/>
        </w:rPr>
        <w:t xml:space="preserve">04  </w:t>
      </w:r>
      <w:r>
        <w:t>Obligations and required actions are proposed with citations</w:t>
      </w:r>
    </w:p>
    <w:p>
      <w:pPr>
        <w:spacing w:after="60"/>
      </w:pPr>
      <w:r>
        <w:rPr>
          <w:b/>
          <w:color w:val="F53B8C"/>
        </w:rPr>
        <w:t xml:space="preserve">05  </w:t>
      </w:r>
      <w:r>
        <w:t>Affected controls/policies are mapped</w:t>
      </w:r>
    </w:p>
    <w:p>
      <w:pPr>
        <w:spacing w:after="60"/>
      </w:pPr>
      <w:r>
        <w:rPr>
          <w:b/>
          <w:color w:val="F53B8C"/>
        </w:rPr>
        <w:t xml:space="preserve">06  </w:t>
      </w:r>
      <w:r>
        <w:t>Owners and deadlines are created</w:t>
      </w:r>
    </w:p>
    <w:p>
      <w:pPr>
        <w:spacing w:after="60"/>
      </w:pPr>
      <w:r>
        <w:rPr>
          <w:b/>
          <w:color w:val="F53B8C"/>
        </w:rPr>
        <w:t xml:space="preserve">07  </w:t>
      </w:r>
      <w:r>
        <w:t>Evidence pack and executive impact memo are produced</w:t>
      </w:r>
    </w:p>
    <w:p>
      <w:pPr>
        <w:spacing w:after="60"/>
      </w:pPr>
      <w:r>
        <w:rPr>
          <w:b/>
          <w:color w:val="F53B8C"/>
        </w:rPr>
        <w:t xml:space="preserve">08  </w:t>
      </w:r>
      <w:r>
        <w:t>Human reviewer approves/rejects/edits; audit trail persists</w:t>
      </w:r>
    </w:p>
    <w:p>
      <w:pPr>
        <w:pStyle w:val="Heading1"/>
      </w:pPr>
      <w:r>
        <w:t>5. 30 / 60 / 90-day build path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11A2E"/>
          </w:tcPr>
          <w:p>
            <w:r>
              <w:rPr>
                <w:b/>
                <w:color w:val="FFFFFF"/>
              </w:rPr>
              <w:t>0–30 days</w:t>
            </w:r>
          </w:p>
        </w:tc>
        <w:tc>
          <w:tcPr>
            <w:tcW w:type="dxa" w:w="3408"/>
            <w:shd w:fill="111A2E"/>
          </w:tcPr>
          <w:p>
            <w:r>
              <w:rPr>
                <w:b/>
                <w:color w:val="FFFFFF"/>
              </w:rPr>
              <w:t>31–60 days</w:t>
            </w:r>
          </w:p>
        </w:tc>
        <w:tc>
          <w:tcPr>
            <w:tcW w:type="dxa" w:w="3408"/>
            <w:shd w:fill="111A2E"/>
          </w:tcPr>
          <w:p>
            <w:r>
              <w:rPr>
                <w:b/>
                <w:color w:val="FFFFFF"/>
              </w:rPr>
              <w:t>61–90 days</w:t>
            </w:r>
          </w:p>
        </w:tc>
      </w:tr>
      <w:tr>
        <w:tc>
          <w:tcPr>
            <w:tcW w:type="dxa" w:w="3408"/>
          </w:tcPr>
          <w:p>
            <w:r>
              <w:t>Embeddings/reranking; source registry; versioning/diff; applicability schema; eval harness.</w:t>
            </w:r>
          </w:p>
        </w:tc>
        <w:tc>
          <w:tcPr>
            <w:tcW w:type="dxa" w:w="3408"/>
          </w:tcPr>
          <w:p>
            <w:r>
              <w:t>Controls/policies/evidence; gap analysis; executive memo; background jobs; model routing.</w:t>
            </w:r>
          </w:p>
        </w:tc>
        <w:tc>
          <w:tcPr>
            <w:tcW w:type="dxa" w:w="3408"/>
          </w:tcPr>
          <w:p>
            <w:r>
              <w:t>SSO/RBAC; observability; integration package; metering; reseller attribution; pilot diligence pack.</w:t>
            </w:r>
          </w:p>
        </w:tc>
      </w:tr>
    </w:tbl>
    <w:p>
      <w:pPr>
        <w:pStyle w:val="Heading1"/>
      </w:pPr>
      <w:r>
        <w:t>6. What becomes the moat</w:t>
      </w:r>
    </w:p>
    <w:p>
      <w:pPr>
        <w:pStyle w:val="ListBullet"/>
        <w:spacing w:after="40"/>
      </w:pPr>
      <w:r>
        <w:t>LATAM regulatory corpus and historical change graph</w:t>
      </w:r>
    </w:p>
    <w:p>
      <w:pPr>
        <w:pStyle w:val="ListBullet"/>
        <w:spacing w:after="40"/>
      </w:pPr>
      <w:r>
        <w:t>Obligation-control-evidence ontology</w:t>
      </w:r>
    </w:p>
    <w:p>
      <w:pPr>
        <w:pStyle w:val="ListBullet"/>
        <w:spacing w:after="40"/>
      </w:pPr>
      <w:r>
        <w:t>Human-reviewed applicability decisions and correction history</w:t>
      </w:r>
    </w:p>
    <w:p>
      <w:pPr>
        <w:pStyle w:val="ListBullet"/>
        <w:spacing w:after="40"/>
      </w:pPr>
      <w:r>
        <w:t>Proprietary evaluation set measuring citation precision, obligation recall, applicability accuracy and hallucination rate</w:t>
      </w:r>
    </w:p>
    <w:p>
      <w:pPr>
        <w:pStyle w:val="ListBullet"/>
        <w:spacing w:after="40"/>
      </w:pPr>
      <w:r>
        <w:t>Enterprise integrations and workflow data</w:t>
      </w:r>
    </w:p>
    <w:p>
      <w:pPr>
        <w:pStyle w:val="ListBullet"/>
        <w:spacing w:after="40"/>
      </w:pPr>
      <w:r>
        <w:t>Founder-led regulatory/legal/commercial execution plus Pomelo distribution</w:t>
      </w:r>
    </w:p>
    <w:p>
      <w:pPr>
        <w:pStyle w:val="Heading1"/>
      </w:pPr>
      <w:r>
        <w:t>7. Competitive reality</w:t>
      </w:r>
    </w:p>
    <w:p>
      <w:r>
        <w:rPr>
          <w:b/>
        </w:rPr>
        <w:t xml:space="preserve">The category is validated and competitive. </w:t>
      </w:r>
      <w:r>
        <w:t>Regology already offers regulatory change management and public Professional pricing of $1,700/user/month; CUBE reports large regulatory-intelligence scale; Norm AI demonstrates capital-market appetite for agentic legal/compliance infrastructure. ComplianceOS therefore cannot win on “AI + regulation” alone. Its wedge must be LATAM financial-services depth, product-aware applicability, operational execution, proprietary data/evals and distribution.</w:t>
      </w:r>
    </w:p>
    <w:p>
      <w:pPr>
        <w:spacing w:before="20" w:after="0"/>
      </w:pPr>
      <w:r>
        <w:rPr>
          <w:b/>
          <w:color w:val="667085"/>
          <w:sz w:val="15"/>
        </w:rPr>
        <w:t xml:space="preserve">Regology pricing: </w:t>
      </w:r>
      <w:r>
        <w:rPr>
          <w:color w:val="667085"/>
          <w:sz w:val="15"/>
        </w:rPr>
        <w:t>https://www.regology.com/pricing</w:t>
      </w:r>
    </w:p>
    <w:p>
      <w:pPr>
        <w:spacing w:before="20" w:after="0"/>
      </w:pPr>
      <w:r>
        <w:rPr>
          <w:b/>
          <w:color w:val="667085"/>
          <w:sz w:val="15"/>
        </w:rPr>
        <w:t xml:space="preserve">CUBE RegPlatform Intel: </w:t>
      </w:r>
      <w:r>
        <w:rPr>
          <w:color w:val="667085"/>
          <w:sz w:val="15"/>
        </w:rPr>
        <w:t>https://cube.global/resources/news/cube-launches-regplatform-intel-to-transform-the-mid-market-regulatory-intelligence-landscape-in-financial-services</w:t>
      </w:r>
    </w:p>
    <w:p>
      <w:pPr>
        <w:spacing w:before="20" w:after="0"/>
      </w:pPr>
      <w:r>
        <w:rPr>
          <w:b/>
          <w:color w:val="667085"/>
          <w:sz w:val="15"/>
        </w:rPr>
        <w:t xml:space="preserve">Norm AI Series C: </w:t>
      </w:r>
      <w:r>
        <w:rPr>
          <w:color w:val="667085"/>
          <w:sz w:val="15"/>
        </w:rPr>
        <w:t>https://www.norm.ai/resources/norm-ai-raises-20-million-at-a-1-2-billion-valuation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0B12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F53B8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0B122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